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1475" w14:textId="77777777" w:rsidR="00B80515"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val="en-GB"/>
        </w:rPr>
      </w:pPr>
    </w:p>
    <w:p w14:paraId="3C915A32" w14:textId="77777777" w:rsidR="00B80515" w:rsidRPr="00D762D9" w:rsidRDefault="00B80515" w:rsidP="00B80515">
      <w:pPr>
        <w:pStyle w:val="Heading1"/>
        <w:rPr>
          <w:rFonts w:ascii="Times New Roman" w:hAnsi="Times New Roman"/>
          <w:b w:val="0"/>
          <w:sz w:val="22"/>
          <w:szCs w:val="22"/>
        </w:rPr>
      </w:pPr>
      <w:r w:rsidRPr="00D762D9">
        <w:rPr>
          <w:rFonts w:ascii="Times New Roman" w:hAnsi="Times New Roman"/>
          <w:b w:val="0"/>
          <w:sz w:val="22"/>
          <w:szCs w:val="22"/>
        </w:rPr>
        <w:t>ALL PROJECTS</w:t>
      </w:r>
    </w:p>
    <w:p w14:paraId="2F3E0B21"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Times New Roman" w:hAnsi="Times New Roman"/>
          <w:bCs/>
          <w:sz w:val="22"/>
          <w:szCs w:val="22"/>
          <w:lang w:val="en-GB"/>
        </w:rPr>
      </w:pPr>
      <w:r w:rsidRPr="00D762D9">
        <w:rPr>
          <w:rFonts w:ascii="Times New Roman" w:hAnsi="Times New Roman"/>
          <w:bCs/>
          <w:sz w:val="22"/>
          <w:szCs w:val="22"/>
          <w:lang w:val="en-GB"/>
        </w:rPr>
        <w:t>CONTRACT SPECIFICATIONS</w:t>
      </w:r>
    </w:p>
    <w:p w14:paraId="7A3DB818" w14:textId="77777777" w:rsidR="00B80515" w:rsidRPr="00D762D9" w:rsidRDefault="00B80515" w:rsidP="00B80515">
      <w:pPr>
        <w:pStyle w:val="Heading1"/>
        <w:rPr>
          <w:rFonts w:ascii="Times New Roman" w:hAnsi="Times New Roman"/>
          <w:b w:val="0"/>
          <w:sz w:val="22"/>
          <w:szCs w:val="22"/>
        </w:rPr>
      </w:pPr>
      <w:r w:rsidRPr="00D762D9">
        <w:rPr>
          <w:rFonts w:ascii="Times New Roman" w:hAnsi="Times New Roman"/>
          <w:sz w:val="22"/>
          <w:szCs w:val="22"/>
        </w:rPr>
        <w:t>EXTERIOR PARGING</w:t>
      </w:r>
    </w:p>
    <w:p w14:paraId="6604F33F" w14:textId="77777777" w:rsidR="00B80515"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val="en-GB"/>
        </w:rPr>
      </w:pPr>
    </w:p>
    <w:p w14:paraId="4FE919D8"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val="en-GB"/>
        </w:rPr>
      </w:pPr>
    </w:p>
    <w:p w14:paraId="4FA1BCAC" w14:textId="77777777" w:rsidR="00B80515" w:rsidRPr="00D762D9" w:rsidRDefault="00B80515" w:rsidP="00B80515">
      <w:pPr>
        <w:pStyle w:val="Quick1"/>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Required Application Areas:</w:t>
      </w:r>
    </w:p>
    <w:p w14:paraId="0ACFE91B" w14:textId="77777777" w:rsidR="00B80515" w:rsidRPr="00D762D9" w:rsidRDefault="00B80515" w:rsidP="00B80515">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52E6362" w14:textId="77777777" w:rsidR="00B80515" w:rsidRPr="00D762D9" w:rsidRDefault="00B80515" w:rsidP="00B80515">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Times New Roman" w:hAnsi="Times New Roman"/>
          <w:sz w:val="22"/>
          <w:szCs w:val="22"/>
        </w:rPr>
      </w:pPr>
    </w:p>
    <w:p w14:paraId="3FA797BE" w14:textId="77777777" w:rsidR="00B80515" w:rsidRDefault="00B80515" w:rsidP="00B80515">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D762D9">
        <w:rPr>
          <w:rFonts w:ascii="Times New Roman" w:hAnsi="Times New Roman"/>
          <w:sz w:val="22"/>
          <w:szCs w:val="22"/>
        </w:rPr>
        <w:t>The contractor shall apply Parging between masonry and adjacent door and window frames</w:t>
      </w:r>
    </w:p>
    <w:p w14:paraId="1B753881" w14:textId="62317546" w:rsidR="00B80515" w:rsidRDefault="00B80515" w:rsidP="00B80515">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D762D9">
        <w:rPr>
          <w:rFonts w:ascii="Times New Roman" w:hAnsi="Times New Roman"/>
          <w:sz w:val="22"/>
          <w:szCs w:val="22"/>
        </w:rPr>
        <w:t xml:space="preserve"> or trim. Contractor to apply sand mortar with bonding agent to all exposed foundation. Contractor to properly prep all surfaces to ensure a smooth even finish.</w:t>
      </w:r>
      <w:r w:rsidR="0050443F">
        <w:rPr>
          <w:rFonts w:ascii="Times New Roman" w:hAnsi="Times New Roman"/>
          <w:sz w:val="22"/>
          <w:szCs w:val="22"/>
        </w:rPr>
        <w:t xml:space="preserve"> Contractor shall parge all front riser steps but keeping the actual step clean.</w:t>
      </w:r>
      <w:r w:rsidRPr="00D762D9">
        <w:rPr>
          <w:rFonts w:ascii="Times New Roman" w:hAnsi="Times New Roman"/>
          <w:sz w:val="22"/>
          <w:szCs w:val="22"/>
        </w:rPr>
        <w:t xml:space="preserve"> Parging to be applied between April 15 and November 1</w:t>
      </w:r>
      <w:r w:rsidRPr="00D762D9">
        <w:rPr>
          <w:rFonts w:ascii="Times New Roman" w:hAnsi="Times New Roman"/>
          <w:sz w:val="22"/>
          <w:szCs w:val="22"/>
          <w:vertAlign w:val="superscript"/>
        </w:rPr>
        <w:t xml:space="preserve">st  </w:t>
      </w:r>
      <w:r w:rsidRPr="00D762D9">
        <w:rPr>
          <w:rFonts w:ascii="Times New Roman" w:hAnsi="Times New Roman"/>
          <w:sz w:val="22"/>
          <w:szCs w:val="22"/>
        </w:rPr>
        <w:t>(Weather permitting)</w:t>
      </w:r>
    </w:p>
    <w:p w14:paraId="55F9E451" w14:textId="77777777" w:rsidR="0050443F" w:rsidRDefault="0050443F" w:rsidP="0050443F">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6" w:hanging="136"/>
        <w:rPr>
          <w:rFonts w:ascii="Times New Roman" w:hAnsi="Times New Roman"/>
          <w:sz w:val="22"/>
          <w:szCs w:val="22"/>
        </w:rPr>
      </w:pPr>
    </w:p>
    <w:p w14:paraId="1BA374DF" w14:textId="0F80CE6B" w:rsidR="00B80515" w:rsidRPr="0050443F" w:rsidRDefault="00B80515" w:rsidP="0050443F">
      <w:pPr>
        <w:pStyle w:val="Quick1"/>
        <w:numPr>
          <w:ilvl w:val="0"/>
          <w:numId w:val="2"/>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 xml:space="preserve">Preparation: </w:t>
      </w:r>
      <w:r w:rsidRPr="0050443F">
        <w:rPr>
          <w:rFonts w:ascii="Times New Roman" w:hAnsi="Times New Roman"/>
          <w:sz w:val="22"/>
          <w:szCs w:val="22"/>
        </w:rPr>
        <w:t>All applied surfaces must be dry and clean, and loose dust must be thoroughly brushed off before parging application</w:t>
      </w:r>
    </w:p>
    <w:p w14:paraId="68C745C8" w14:textId="77777777" w:rsidR="00B80515" w:rsidRPr="00D762D9" w:rsidRDefault="00B80515" w:rsidP="00B80515">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FCD0164"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 xml:space="preserve"> Restrictions: (Application Temperature) No work is to be performed at temperatures below freezing unless tarping  or heating techniques are applied. . </w:t>
      </w:r>
    </w:p>
    <w:p w14:paraId="36BB3D35" w14:textId="77777777" w:rsidR="00B80515" w:rsidRPr="00D762D9" w:rsidRDefault="00B80515" w:rsidP="00B80515">
      <w:pPr>
        <w:pStyle w:val="Quick1"/>
        <w:numPr>
          <w:ilvl w:val="0"/>
          <w:numId w:val="0"/>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rPr>
          <w:rFonts w:ascii="Times New Roman" w:hAnsi="Times New Roman"/>
          <w:sz w:val="22"/>
          <w:szCs w:val="22"/>
        </w:rPr>
      </w:pPr>
    </w:p>
    <w:p w14:paraId="4827F8F7"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 xml:space="preserve">.All materials and </w:t>
      </w:r>
      <w:proofErr w:type="spellStart"/>
      <w:r w:rsidRPr="00D762D9">
        <w:rPr>
          <w:rFonts w:ascii="Times New Roman" w:hAnsi="Times New Roman"/>
          <w:sz w:val="22"/>
          <w:szCs w:val="22"/>
        </w:rPr>
        <w:t>labour</w:t>
      </w:r>
      <w:proofErr w:type="spellEnd"/>
      <w:r w:rsidRPr="00D762D9">
        <w:rPr>
          <w:rFonts w:ascii="Times New Roman" w:hAnsi="Times New Roman"/>
          <w:sz w:val="22"/>
          <w:szCs w:val="22"/>
        </w:rPr>
        <w:t xml:space="preserve"> shall conform to the Ontario Building Code.</w:t>
      </w:r>
    </w:p>
    <w:p w14:paraId="4086E5FC"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231CE9D"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BD01D40"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The Contractor shall report to the Owner’s Site Superintendent any deficiencies of the units, which could affect the quality of their job.  The contractor shall also assure that all parging contact areas are free and clear of dust and debris, or any solvents or materials that may adversely affect the bonding of the parging  to the substrate to which it is applied. No further work is to be performed to this area until such time as the Site Superintendent has addressed these concerns.</w:t>
      </w:r>
    </w:p>
    <w:p w14:paraId="19FEED47"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3E18C24"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The Contractor shall provide to the Owner, prior to starting his work, proof of a two million dollar liability insurance naming the Contractor and the Owner jointly for the duration of the contract.</w:t>
      </w:r>
    </w:p>
    <w:p w14:paraId="5ECA28A1"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0C858361"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90DE060"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The Contractor shall remove all waste materials generated by his employees and agents from the units to containers as directed by the Site Superintendent.  This “clean-up” shall be performed immediately upon request of the Site Superintendent.</w:t>
      </w:r>
    </w:p>
    <w:p w14:paraId="2465AF4C"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C02CA27"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2122850"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The Contractor shall take all means necessary to ensure his employees and agents comply with all requirements of the Ontario Health and Safety Act and the Owner’s Safety Policy Statement.</w:t>
      </w:r>
    </w:p>
    <w:p w14:paraId="4DA15F80"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2D9948E"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3024EA5F" w14:textId="77777777" w:rsidR="00B80515" w:rsidRPr="00D762D9" w:rsidRDefault="00B80515" w:rsidP="00B80515">
      <w:pPr>
        <w:pStyle w:val="Quick1"/>
        <w:numPr>
          <w:ilvl w:val="0"/>
          <w:numId w:val="3"/>
        </w:numPr>
        <w:tabs>
          <w:tab w:val="left" w:pos="-1440"/>
          <w:tab w:val="left" w:pos="-720"/>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D762D9">
        <w:rPr>
          <w:rFonts w:ascii="Times New Roman" w:hAnsi="Times New Roman"/>
          <w:sz w:val="22"/>
          <w:szCs w:val="22"/>
        </w:rPr>
        <w:t>The Contractor shall provide, upon demand, to the Owner, a certificate of clearance from Worker’s Compensation.</w:t>
      </w:r>
    </w:p>
    <w:p w14:paraId="13400FBD"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BA8753E" w14:textId="77777777" w:rsidR="00B80515" w:rsidRPr="00D762D9" w:rsidRDefault="00B80515" w:rsidP="00B80515">
      <w:p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D179353" w14:textId="41431055" w:rsidR="000E21D1" w:rsidRDefault="00B80515" w:rsidP="00B80515">
      <w:pPr>
        <w:pStyle w:val="Quick1"/>
        <w:numPr>
          <w:ilvl w:val="0"/>
          <w:numId w:val="3"/>
        </w:numPr>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0515">
        <w:rPr>
          <w:rFonts w:ascii="Times New Roman" w:hAnsi="Times New Roman"/>
          <w:sz w:val="22"/>
          <w:szCs w:val="22"/>
        </w:rPr>
        <w:t xml:space="preserve">The Contractor shall provide to the Owner a warranty on </w:t>
      </w:r>
      <w:proofErr w:type="spellStart"/>
      <w:r w:rsidRPr="00B80515">
        <w:rPr>
          <w:rFonts w:ascii="Times New Roman" w:hAnsi="Times New Roman"/>
          <w:sz w:val="22"/>
          <w:szCs w:val="22"/>
        </w:rPr>
        <w:t>labour</w:t>
      </w:r>
      <w:proofErr w:type="spellEnd"/>
      <w:r w:rsidRPr="00B80515">
        <w:rPr>
          <w:rFonts w:ascii="Times New Roman" w:hAnsi="Times New Roman"/>
          <w:sz w:val="22"/>
          <w:szCs w:val="22"/>
        </w:rPr>
        <w:t xml:space="preserve"> and materials equal to the Owner’s obligations under the Ontario New Home Warranty Program.</w:t>
      </w:r>
    </w:p>
    <w:sectPr w:rsidR="000E21D1" w:rsidSect="0050443F">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ickType Mono">
    <w:altName w:val="Monospac821 BT"/>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136"/>
        </w:tabs>
      </w:pPr>
      <w:rPr>
        <w:rFonts w:ascii="QuickType Mono" w:hAnsi="QuickType Mono" w:cs="Times New Roman"/>
        <w:sz w:val="20"/>
        <w:szCs w:val="20"/>
      </w:rPr>
    </w:lvl>
  </w:abstractNum>
  <w:abstractNum w:abstractNumId="1" w15:restartNumberingAfterBreak="0">
    <w:nsid w:val="31D16D92"/>
    <w:multiLevelType w:val="hybridMultilevel"/>
    <w:tmpl w:val="B3B8506E"/>
    <w:lvl w:ilvl="0" w:tplc="78F239E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3ED1F80"/>
    <w:multiLevelType w:val="hybridMultilevel"/>
    <w:tmpl w:val="78082E56"/>
    <w:lvl w:ilvl="0" w:tplc="9744B168">
      <w:start w:val="1"/>
      <w:numFmt w:val="decimal"/>
      <w:lvlText w:val="%1."/>
      <w:lvlJc w:val="left"/>
      <w:pPr>
        <w:tabs>
          <w:tab w:val="num" w:pos="504"/>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381948"/>
    <w:multiLevelType w:val="hybridMultilevel"/>
    <w:tmpl w:val="1F2095F0"/>
    <w:lvl w:ilvl="0" w:tplc="10090001">
      <w:start w:val="1"/>
      <w:numFmt w:val="bullet"/>
      <w:lvlText w:val=""/>
      <w:lvlJc w:val="left"/>
      <w:pPr>
        <w:ind w:left="1224" w:hanging="360"/>
      </w:pPr>
      <w:rPr>
        <w:rFonts w:ascii="Symbol" w:hAnsi="Symbol" w:hint="default"/>
      </w:rPr>
    </w:lvl>
    <w:lvl w:ilvl="1" w:tplc="10090003" w:tentative="1">
      <w:start w:val="1"/>
      <w:numFmt w:val="bullet"/>
      <w:lvlText w:val="o"/>
      <w:lvlJc w:val="left"/>
      <w:pPr>
        <w:ind w:left="1944" w:hanging="360"/>
      </w:pPr>
      <w:rPr>
        <w:rFonts w:ascii="Courier New" w:hAnsi="Courier New" w:cs="Courier New" w:hint="default"/>
      </w:rPr>
    </w:lvl>
    <w:lvl w:ilvl="2" w:tplc="10090005" w:tentative="1">
      <w:start w:val="1"/>
      <w:numFmt w:val="bullet"/>
      <w:lvlText w:val=""/>
      <w:lvlJc w:val="left"/>
      <w:pPr>
        <w:ind w:left="2664" w:hanging="360"/>
      </w:pPr>
      <w:rPr>
        <w:rFonts w:ascii="Wingdings" w:hAnsi="Wingdings" w:hint="default"/>
      </w:rPr>
    </w:lvl>
    <w:lvl w:ilvl="3" w:tplc="10090001" w:tentative="1">
      <w:start w:val="1"/>
      <w:numFmt w:val="bullet"/>
      <w:lvlText w:val=""/>
      <w:lvlJc w:val="left"/>
      <w:pPr>
        <w:ind w:left="3384" w:hanging="360"/>
      </w:pPr>
      <w:rPr>
        <w:rFonts w:ascii="Symbol" w:hAnsi="Symbol" w:hint="default"/>
      </w:rPr>
    </w:lvl>
    <w:lvl w:ilvl="4" w:tplc="10090003" w:tentative="1">
      <w:start w:val="1"/>
      <w:numFmt w:val="bullet"/>
      <w:lvlText w:val="o"/>
      <w:lvlJc w:val="left"/>
      <w:pPr>
        <w:ind w:left="4104" w:hanging="360"/>
      </w:pPr>
      <w:rPr>
        <w:rFonts w:ascii="Courier New" w:hAnsi="Courier New" w:cs="Courier New" w:hint="default"/>
      </w:rPr>
    </w:lvl>
    <w:lvl w:ilvl="5" w:tplc="10090005" w:tentative="1">
      <w:start w:val="1"/>
      <w:numFmt w:val="bullet"/>
      <w:lvlText w:val=""/>
      <w:lvlJc w:val="left"/>
      <w:pPr>
        <w:ind w:left="4824" w:hanging="360"/>
      </w:pPr>
      <w:rPr>
        <w:rFonts w:ascii="Wingdings" w:hAnsi="Wingdings" w:hint="default"/>
      </w:rPr>
    </w:lvl>
    <w:lvl w:ilvl="6" w:tplc="10090001" w:tentative="1">
      <w:start w:val="1"/>
      <w:numFmt w:val="bullet"/>
      <w:lvlText w:val=""/>
      <w:lvlJc w:val="left"/>
      <w:pPr>
        <w:ind w:left="5544" w:hanging="360"/>
      </w:pPr>
      <w:rPr>
        <w:rFonts w:ascii="Symbol" w:hAnsi="Symbol" w:hint="default"/>
      </w:rPr>
    </w:lvl>
    <w:lvl w:ilvl="7" w:tplc="10090003" w:tentative="1">
      <w:start w:val="1"/>
      <w:numFmt w:val="bullet"/>
      <w:lvlText w:val="o"/>
      <w:lvlJc w:val="left"/>
      <w:pPr>
        <w:ind w:left="6264" w:hanging="360"/>
      </w:pPr>
      <w:rPr>
        <w:rFonts w:ascii="Courier New" w:hAnsi="Courier New" w:cs="Courier New" w:hint="default"/>
      </w:rPr>
    </w:lvl>
    <w:lvl w:ilvl="8" w:tplc="10090005" w:tentative="1">
      <w:start w:val="1"/>
      <w:numFmt w:val="bullet"/>
      <w:lvlText w:val=""/>
      <w:lvlJc w:val="left"/>
      <w:pPr>
        <w:ind w:left="6984" w:hanging="360"/>
      </w:pPr>
      <w:rPr>
        <w:rFonts w:ascii="Wingdings" w:hAnsi="Wingdings" w:hint="default"/>
      </w:rPr>
    </w:lvl>
  </w:abstractNum>
  <w:num w:numId="1" w16cid:durableId="2033454991">
    <w:abstractNumId w:val="0"/>
    <w:lvlOverride w:ilvl="0">
      <w:startOverride w:val="2"/>
      <w:lvl w:ilvl="0">
        <w:start w:val="2"/>
        <w:numFmt w:val="decimal"/>
        <w:pStyle w:val="Quick1"/>
        <w:lvlText w:val="%1."/>
        <w:lvlJc w:val="left"/>
      </w:lvl>
    </w:lvlOverride>
  </w:num>
  <w:num w:numId="2" w16cid:durableId="2099517535">
    <w:abstractNumId w:val="2"/>
  </w:num>
  <w:num w:numId="3" w16cid:durableId="1575630628">
    <w:abstractNumId w:val="1"/>
  </w:num>
  <w:num w:numId="4" w16cid:durableId="340470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15"/>
    <w:rsid w:val="000E21D1"/>
    <w:rsid w:val="0050443F"/>
    <w:rsid w:val="00A53103"/>
    <w:rsid w:val="00B805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06F4"/>
  <w15:chartTrackingRefBased/>
  <w15:docId w15:val="{B80F6FFD-FCA4-4C6D-AD3B-4B51D7AA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15"/>
    <w:pPr>
      <w:widowControl w:val="0"/>
      <w:autoSpaceDE w:val="0"/>
      <w:autoSpaceDN w:val="0"/>
      <w:adjustRightInd w:val="0"/>
      <w:spacing w:after="0" w:line="240" w:lineRule="auto"/>
    </w:pPr>
    <w:rPr>
      <w:rFonts w:ascii="QuickType Mono" w:eastAsia="Times New Roman" w:hAnsi="QuickType Mono" w:cs="Times New Roman"/>
      <w:kern w:val="0"/>
      <w:sz w:val="20"/>
      <w:szCs w:val="24"/>
      <w:lang w:val="en-US"/>
      <w14:ligatures w14:val="none"/>
    </w:rPr>
  </w:style>
  <w:style w:type="paragraph" w:styleId="Heading1">
    <w:name w:val="heading 1"/>
    <w:basedOn w:val="Normal"/>
    <w:next w:val="Normal"/>
    <w:link w:val="Heading1Char"/>
    <w:qFormat/>
    <w:rsid w:val="00B80515"/>
    <w:pPr>
      <w:keepNext/>
      <w:tabs>
        <w:tab w:val="left" w:pos="-1440"/>
        <w:tab w:val="left" w:pos="-720"/>
        <w:tab w:val="left" w:pos="136"/>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outlineLvl w:val="0"/>
    </w:pPr>
    <w:rPr>
      <w:rFonts w:ascii="CG Times" w:hAnsi="CG Times"/>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B80515"/>
    <w:pPr>
      <w:numPr>
        <w:numId w:val="1"/>
      </w:numPr>
      <w:ind w:left="136" w:hanging="136"/>
    </w:pPr>
  </w:style>
  <w:style w:type="character" w:customStyle="1" w:styleId="Heading1Char">
    <w:name w:val="Heading 1 Char"/>
    <w:basedOn w:val="DefaultParagraphFont"/>
    <w:link w:val="Heading1"/>
    <w:rsid w:val="00B80515"/>
    <w:rPr>
      <w:rFonts w:ascii="CG Times" w:eastAsia="Times New Roman" w:hAnsi="CG Times" w:cs="Times New Roman"/>
      <w:b/>
      <w:bCs/>
      <w:kern w:val="0"/>
      <w:sz w:val="28"/>
      <w:szCs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cp:lastPrinted>2023-12-07T17:32:00Z</cp:lastPrinted>
  <dcterms:created xsi:type="dcterms:W3CDTF">2023-12-07T17:10:00Z</dcterms:created>
  <dcterms:modified xsi:type="dcterms:W3CDTF">2024-01-20T03:20:00Z</dcterms:modified>
</cp:coreProperties>
</file>